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Cs/>
          <w:sz w:val="30"/>
        </w:rPr>
      </w:pPr>
      <w:r>
        <w:rPr>
          <w:rFonts w:hint="eastAsia" w:ascii="仿宋_GB2312" w:hAnsi="宋体" w:eastAsia="仿宋_GB2312"/>
          <w:bCs/>
          <w:sz w:val="30"/>
        </w:rPr>
        <w:t>附件1</w:t>
      </w:r>
    </w:p>
    <w:p>
      <w:pPr>
        <w:snapToGrid w:val="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冶金科学技术奖专业评审范围</w:t>
      </w:r>
    </w:p>
    <w:p>
      <w:pPr>
        <w:snapToGrid w:val="0"/>
        <w:spacing w:line="440" w:lineRule="atLeast"/>
        <w:rPr>
          <w:rFonts w:hint="eastAsia" w:ascii="仿宋_GB2312" w:hAnsi="宋体" w:eastAsia="仿宋_GB2312"/>
          <w:bCs/>
          <w:sz w:val="28"/>
          <w:szCs w:val="28"/>
        </w:rPr>
      </w:pPr>
    </w:p>
    <w:p>
      <w:pPr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冶金科学技术奖为冶金行业最高科学技术奖。为推动冶金工业科技进步和科技创新工作，激励利用科技力量促进冶金工业发展的行为，冶金科学技术奖将对以下领域的科技成果进行评审。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1.地质、矿山及资源</w:t>
      </w:r>
    </w:p>
    <w:p>
      <w:pPr>
        <w:pStyle w:val="2"/>
        <w:tabs>
          <w:tab w:val="left" w:pos="0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冶金工业所需矿物的地质、勘查、采、选、资源综合利用等相关理论、工艺、技术、设备、安全、环保、标准计量、分析检验等成就；</w:t>
      </w:r>
      <w:bookmarkStart w:id="0" w:name="_GoBack"/>
      <w:bookmarkEnd w:id="0"/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2.炼铁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炼铁、直接还原、熔融还原、烧结、球团、焦化、专用耐材等领域产品开发生产及相关理论、工艺、技术、设备、安全、环保、在线标准计量及分析检验等成就；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3.炼钢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炼钢、连铸、炉外处理(铁水预处理、钢水精炼)、石灰、耐材、铁合金的生产及相关理论、工艺、技术、设备、安全、环保、在线标准计量及分析检验等成就；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4.轧钢及制品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轧钢、制品、耐材的开发生产及相关理论、工艺、技术、设备、安全、环保、在线标准计量及分析检验等成就；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5.材料</w:t>
      </w:r>
    </w:p>
    <w:p>
      <w:pPr>
        <w:pStyle w:val="2"/>
        <w:tabs>
          <w:tab w:val="left" w:pos="1124"/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冶金工业所涉及应用基础研究及相关理论、基础研究，特种冶金材料开发、生产工艺、技术、设备等成就；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6.冶金装备、建设与自动化</w:t>
      </w:r>
    </w:p>
    <w:p>
      <w:pPr>
        <w:pStyle w:val="2"/>
        <w:tabs>
          <w:tab w:val="clear" w:pos="1260"/>
        </w:tabs>
        <w:snapToGrid w:val="0"/>
        <w:spacing w:line="440" w:lineRule="atLeast"/>
        <w:ind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冶金工程建设及冶金设备、动力、仪器仪表、计算机应用、系统等成就；</w:t>
      </w:r>
    </w:p>
    <w:p>
      <w:pPr>
        <w:snapToGrid w:val="0"/>
        <w:spacing w:line="440" w:lineRule="atLeast"/>
        <w:ind w:firstLine="602" w:firstLineChars="200"/>
        <w:rPr>
          <w:rFonts w:hint="eastAsia"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7.管理与环境工程</w:t>
      </w:r>
    </w:p>
    <w:p>
      <w:pPr>
        <w:snapToGrid w:val="0"/>
        <w:spacing w:line="440" w:lineRule="atLeas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冶金工业的技术管理、信息、标准方法、质量监管、测试、检测分析、档案、环境等领域的理论研究与实践成就。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FF6C0C"/>
    <w:rsid w:val="1BA30A71"/>
    <w:rsid w:val="25362D21"/>
    <w:rsid w:val="3D3050F5"/>
    <w:rsid w:val="43FF6C0C"/>
    <w:rsid w:val="49D53558"/>
    <w:rsid w:val="527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260"/>
      </w:tabs>
      <w:ind w:firstLine="644"/>
    </w:pPr>
    <w:rPr>
      <w:rFonts w:ascii="Times New Roman" w:hAnsi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528</Characters>
  <Lines>0</Lines>
  <Paragraphs>0</Paragraphs>
  <TotalTime>0</TotalTime>
  <ScaleCrop>false</ScaleCrop>
  <LinksUpToDate>false</LinksUpToDate>
  <CharactersWithSpaces>528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2022-10-31T01:16:00Z</dcterms:created>
  <dc:creator>徐甫</dc:creator>
  <cp:lastModifiedBy>WPS_1666831177</cp:lastModifiedBy>
  <dcterms:modified xsi:type="dcterms:W3CDTF">2022-11-24T05:20:30Z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D88C7AA2CE8D44C69C247E5127B5F505</vt:lpwstr>
  </property>
</Properties>
</file>