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微软雅黑" w:hAnsi="微软雅黑" w:eastAsia="微软雅黑" w:cs="宋体"/>
          <w:color w:val="00000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</w:rPr>
        <w:t>青年科学家沙龙活动实施办法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第一条 为规范青年科学家沙龙活动（以下简称“青年科学家沙龙”）组织实施，特制定本办法。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Garamond"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第二条 青年科学家沙龙旨在贯彻落实习近平总书记关于科技创新、青年科技人才成长的系列指示精神，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搭建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青年科技人才跨界交流平台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Garamond" w:eastAsia="仿宋_GB2312"/>
          <w:sz w:val="32"/>
          <w:szCs w:val="32"/>
        </w:rPr>
        <w:t>激发青年科技骨干、科技领军人才、海外科技人才创新创造活力，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助力</w:t>
      </w:r>
      <w:r>
        <w:rPr>
          <w:rFonts w:hint="eastAsia" w:ascii="仿宋_GB2312" w:hAnsi="Garamond" w:eastAsia="仿宋_GB2312"/>
          <w:color w:val="000000"/>
          <w:sz w:val="32"/>
          <w:szCs w:val="32"/>
        </w:rPr>
        <w:t>青年科技人才成长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Garamond" w:eastAsia="仿宋_GB2312"/>
          <w:sz w:val="32"/>
          <w:szCs w:val="32"/>
        </w:rPr>
        <w:t>为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实现高水平科技自立自强、建设世界科技强国提供人才支撑。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第三条 青年科学家沙龙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突出青年科技工作者学术研究特点，以交流学术新问题、新方向、新观点、新思想为重点，倡导开放共享、鼓励学术争鸣、集聚多元人才、促进学科交叉。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第二章  组织形式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第四条 青年科学家沙龙由中国科协主办，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通过项目申报的方式择优遴选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全国学会、高等院校、科研机构、科技企业等单位具体承办，承办单位不得转包项目。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第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五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条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青年科学家沙龙会期一般为2天，地点由承办单位根据实际需要确定，根据实际情况，可采用线上线下相结合的形式进行，鼓励在线直播。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六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条 青年科学家沙龙每期参会人数控制在30人左右，参会代表突出学科交叉和产学研融合，参会人员应以38周岁以下青年科学家为主，女性科学家的年龄可以适当放宽。鼓励邀请国际同行参会，扩大国际学术交流。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第七条 活动承办单位围绕“四个面向”，按照年度申报通知要求，结合自身工作基础与优势领域设定青年科学家沙龙议题。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议题设定要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有明确的问题导向性、可讨论性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和时效性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，能够形成高质量的政策建议。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第八条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青年科学家沙龙实行执行主席负责制。承办单位应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确定沙龙执行主席，负责确定沙龙议题、审定活动方案、提名主旨报告人、凝练活动成果等。执行主席应具备以下条件：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（一）学风正派、品行端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正，年龄38周岁以下；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（二）一般应具有教授、研究员或同等职称，在相关领域做出创造性成就和突出贡献，具有较强科研领军才能和协同创新能力，获得同行充分认可，有良好口碑；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（三）优先邀请包括教育部、科技部、国家自然科学基金委、中国科协等青年人才项目获得者。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第九条 青年科学家沙龙应围绕议题设置主旨报告、自由发言等环节，不设主席台，鼓励营造轻松自由的学术交流气氛。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（一）主旨报告。可邀请杰出青年代表围绕沙龙议题做主旨报告，主旨报告聚焦新问题和新方向，重点体现具有原创性和开创性的学术新思想和新观点。</w:t>
      </w:r>
      <w:r>
        <w:rPr>
          <w:rFonts w:ascii="仿宋_GB2312" w:hAnsi="微软雅黑" w:eastAsia="仿宋_GB2312" w:cs="宋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（二）自由发言。与会代表围绕议题展开讨论，加强线上互动，鼓励线上人员以邮件、会议留言等形式参与讨论，提倡自由探讨、质疑、争鸣、辩论。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（三）对话讨论。鼓励思想活跃的业界知名专家学者参与，采用多种形式开展新观点对话。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（四）专家点评。邀请专家对报告和现场对话的内容和观点进行简要评述，点评专家应邀请相关领域有权威和影响力的高层次专家学者担任，鼓励邀请跨学科、跨领域的战略前沿科学家担任点评专家。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（五）考察访问。可参观访问与议题领域相关的实验室和高新技术企业，选取相关的科研实验或生产线进行现场互动交流。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第三章  组织保障和分工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第十条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建立青年科学家沙龙青年委员会联盟，由年度青年科学家沙龙系列活动承办学会既有的青年委员会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负责人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组成，负责青年科学家沙龙系列活动的策划设计、议题审议、跨界交流、建议反馈等事宜。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第十一条 </w:t>
      </w:r>
      <w:r>
        <w:rPr>
          <w:rFonts w:hint="eastAsia" w:ascii="仿宋_GB2312" w:eastAsia="仿宋_GB2312"/>
          <w:color w:val="000000"/>
          <w:sz w:val="32"/>
          <w:szCs w:val="32"/>
        </w:rPr>
        <w:t>承办单位应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开展前期调研，</w:t>
      </w:r>
      <w:r>
        <w:rPr>
          <w:rFonts w:hint="eastAsia" w:ascii="仿宋_GB2312" w:eastAsia="仿宋_GB2312"/>
          <w:color w:val="000000"/>
          <w:sz w:val="32"/>
          <w:szCs w:val="32"/>
        </w:rPr>
        <w:t>制定详细的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青年科学家沙龙实施方案，</w:t>
      </w:r>
      <w:r>
        <w:rPr>
          <w:rFonts w:hint="eastAsia" w:ascii="仿宋_GB2312" w:eastAsia="仿宋_GB2312"/>
          <w:sz w:val="32"/>
          <w:szCs w:val="32"/>
        </w:rPr>
        <w:t>并在活动实施前15天提交中国科协科学技术创新部审核，经批准后组织实施。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 xml:space="preserve"> 承办单位应按照实施方案做好沙龙筹备和组织工作，沙龙的LOGO、背景板、宣传片等素材由中国科协统一设计提供。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 xml:space="preserve"> 青年科学家沙龙活动经费由中国科协支出，</w:t>
      </w:r>
      <w:r>
        <w:rPr>
          <w:rFonts w:hint="eastAsia" w:ascii="仿宋_GB2312" w:hAnsi="仿宋" w:eastAsia="仿宋_GB2312" w:cs="宋体"/>
          <w:color w:val="000000"/>
          <w:spacing w:val="2"/>
          <w:sz w:val="32"/>
          <w:szCs w:val="32"/>
        </w:rPr>
        <w:t>承办单</w:t>
      </w:r>
      <w:r>
        <w:rPr>
          <w:rFonts w:hint="eastAsia" w:ascii="仿宋_GB2312" w:hAnsi="����" w:eastAsia="仿宋_GB2312" w:cs="宋体"/>
          <w:color w:val="000000"/>
          <w:spacing w:val="2"/>
          <w:sz w:val="32"/>
          <w:szCs w:val="14"/>
        </w:rPr>
        <w:t>位应</w:t>
      </w:r>
      <w:r>
        <w:rPr>
          <w:rFonts w:hint="eastAsia" w:ascii="仿宋_GB2312" w:hAnsi="����" w:eastAsia="仿宋_GB2312" w:cs="宋体"/>
          <w:color w:val="000000"/>
          <w:sz w:val="32"/>
          <w:szCs w:val="14"/>
        </w:rPr>
        <w:t>严格按照合同和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《中央和国家机关会议费管理办法》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《中央和国家机关外宾接待经费管理办法》等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规定的相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关标准支出，不得超</w:t>
      </w:r>
      <w:r>
        <w:rPr>
          <w:rFonts w:hint="eastAsia" w:ascii="仿宋_GB2312" w:hAnsi="仿宋_GB2312" w:eastAsia="仿宋_GB2312" w:cs="仿宋_GB2312"/>
          <w:sz w:val="32"/>
        </w:rPr>
        <w:t>范围、超标准支出。在保证会议效果的前提下节俭高效办会。</w:t>
      </w:r>
      <w:r>
        <w:rPr>
          <w:rFonts w:hint="eastAsia" w:ascii="仿宋_GB2312" w:eastAsia="仿宋_GB2312"/>
          <w:sz w:val="32"/>
          <w:szCs w:val="32"/>
        </w:rPr>
        <w:t>除往返交通费由参会代表自行承担外，不得收取任何费用。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第十四条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承办单位应制定突发事件应急预案，严格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与会嘉宾邀请，加强审核把关和舆情管控，防范发表不当言论、发生学术不端行为等风险。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第十五条 承办单位应加强对沙龙活动的宣传推广，包括对活动内容、成果和参与的青年科学家的宣传，提升活动效果。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第四章  成果凝练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第十六条 青年科学家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沙龙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学术成果包括调研报告、会议纪要、学术报告、专家观点汇编等，提交中国科协结集汇编。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第十七条 青年科学家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沙龙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智库成果主要包括政策建议报告等，政策建议报告撰写应符合相关的体例要求和写作规范，报告内容应体现紧迫性、建设性、针对性、前瞻性等特点。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第十八条 青年科学家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沙龙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科普成果是对沙龙议题和专家观点的科普化解读，通过科普视频、科普文章、专家访谈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、观点金句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等形式面向大众传播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，鼓励各承担单位利用全媒体资源进行传播。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第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十九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条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青年科学家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沙龙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其他成果包括主旨报告幻灯片、相关专家名单、会议现场图文等。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二十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承办单位应在青年科学家沙龙活动结束15天内，向中国科协科学技术创新部提交高质量的智库成果和其他相关成果，鼓励成果开放共享。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第五章  附  则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18"/>
          <w:tab w:val="left" w:pos="1843"/>
        </w:tabs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第二十一条 </w:t>
      </w:r>
      <w:r>
        <w:rPr>
          <w:rFonts w:hint="eastAsia" w:ascii="仿宋_GB2312" w:eastAsia="仿宋_GB2312"/>
          <w:sz w:val="32"/>
          <w:szCs w:val="32"/>
        </w:rPr>
        <w:t>本办法由中国科协科学技术创新部负责解释。</w:t>
      </w:r>
    </w:p>
    <w:p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第二十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本办法自印发之日起施行。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����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3706584D"/>
    <w:rsid w:val="370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2023-03-27T06:38:00Z</dcterms:created>
  <dc:creator>lenovo</dc:creator>
  <cp:lastModifiedBy>lenovo</cp:lastModifiedBy>
  <dcterms:modified xsi:type="dcterms:W3CDTF">2023-03-27T06:38:50Z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8B6EE023F6B54995856A221CE7557351</vt:lpwstr>
  </property>
</Properties>
</file>